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62E75E4E" w:rsidR="00B123FF" w:rsidRPr="00455A3C" w:rsidRDefault="00C445CB" w:rsidP="00F60A53">
      <w:pPr>
        <w:pStyle w:val="F2-zkladn"/>
        <w:spacing w:line="276" w:lineRule="auto"/>
        <w:rPr>
          <w:b/>
          <w:sz w:val="28"/>
          <w:szCs w:val="28"/>
        </w:rPr>
      </w:pPr>
      <w:r>
        <w:rPr>
          <w:b/>
          <w:sz w:val="28"/>
          <w:szCs w:val="28"/>
        </w:rPr>
        <w:t>PRŮZKUM</w:t>
      </w:r>
    </w:p>
    <w:p w14:paraId="59F979EF" w14:textId="2D508968"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68E6FC63">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7622B"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3FA1A16E"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C3DE0DA">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48FCE"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DA397A">
        <w:t>1</w:t>
      </w:r>
      <w:r w:rsidR="00EA0060">
        <w:t>8</w:t>
      </w:r>
      <w:r w:rsidR="005420B4" w:rsidRPr="00893890">
        <w:t>.</w:t>
      </w:r>
      <w:r w:rsidR="00296EFF">
        <w:t xml:space="preserve"> </w:t>
      </w:r>
      <w:r w:rsidR="00D62D94">
        <w:t>června</w:t>
      </w:r>
      <w:r w:rsidR="00EB4F26">
        <w:t xml:space="preserve"> </w:t>
      </w:r>
      <w:r w:rsidR="00A30105" w:rsidRPr="00893890">
        <w:t>20</w:t>
      </w:r>
      <w:r w:rsidR="00A7414F" w:rsidRPr="00893890">
        <w:t>2</w:t>
      </w:r>
      <w:r w:rsidR="00CB6DEB">
        <w:t>4</w:t>
      </w:r>
    </w:p>
    <w:p w14:paraId="7EECF1EA" w14:textId="24D140E2" w:rsidR="002027ED" w:rsidRPr="002027ED" w:rsidRDefault="002027ED" w:rsidP="002027ED">
      <w:pPr>
        <w:pStyle w:val="F2-zkladn"/>
        <w:tabs>
          <w:tab w:val="right" w:pos="9070"/>
        </w:tabs>
        <w:spacing w:line="276" w:lineRule="auto"/>
      </w:pPr>
    </w:p>
    <w:p w14:paraId="2E78882E" w14:textId="11C2E428" w:rsidR="00E76BE0" w:rsidRPr="00725F39" w:rsidRDefault="00C445CB"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Každoroční průzkum ESG společnosti </w:t>
      </w: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odhalil, že společnosti mají i nadále zájem zapojit se do této problematiky</w:t>
      </w:r>
    </w:p>
    <w:p w14:paraId="3E77B751" w14:textId="6C4F77A3" w:rsidR="00C7546F" w:rsidRDefault="00C445CB" w:rsidP="00C445CB">
      <w:pPr>
        <w:pStyle w:val="Odstavecseseznamem"/>
        <w:numPr>
          <w:ilvl w:val="0"/>
          <w:numId w:val="43"/>
        </w:num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68 % společností z celého světa reagovalo v uplynulých 12 měsících na snahy analytiků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 o angažovanost</w:t>
      </w:r>
    </w:p>
    <w:p w14:paraId="1F110DE9" w14:textId="3CA23758" w:rsidR="00C445CB" w:rsidRDefault="00C445CB" w:rsidP="00C445CB">
      <w:pPr>
        <w:pStyle w:val="Odstavecseseznamem"/>
        <w:numPr>
          <w:ilvl w:val="0"/>
          <w:numId w:val="43"/>
        </w:num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43 % dotázaných analytiků společnosti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věří, že společnosti mohou splnit cíl nulových emisí do roku 2050</w:t>
      </w:r>
    </w:p>
    <w:p w14:paraId="36965A64" w14:textId="3013D4F2" w:rsidR="00C445CB" w:rsidRPr="00C445CB" w:rsidRDefault="00C445CB" w:rsidP="00C445CB">
      <w:pPr>
        <w:pStyle w:val="Odstavecseseznamem"/>
        <w:numPr>
          <w:ilvl w:val="0"/>
          <w:numId w:val="43"/>
        </w:num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Regulace, vládní podpora a aktivita akcionářů </w:t>
      </w:r>
      <w:r w:rsidRPr="00C445CB">
        <w:rPr>
          <w:rFonts w:asciiTheme="minorHAnsi" w:hAnsiTheme="minorHAnsi" w:cstheme="minorHAnsi"/>
          <w:b/>
          <w:bCs/>
          <w:sz w:val="24"/>
          <w:szCs w:val="24"/>
        </w:rPr>
        <w:t>–</w:t>
      </w:r>
      <w:r>
        <w:rPr>
          <w:rFonts w:asciiTheme="minorHAnsi" w:hAnsiTheme="minorHAnsi" w:cstheme="minorHAnsi"/>
          <w:b/>
          <w:bCs/>
          <w:sz w:val="24"/>
          <w:szCs w:val="24"/>
        </w:rPr>
        <w:t xml:space="preserve"> to jsou hlavní oblasti, které by měly pomoci zlepšit environmentální politiku společností</w:t>
      </w:r>
    </w:p>
    <w:p w14:paraId="02A4F44E" w14:textId="411D0EDC" w:rsidR="00C445CB" w:rsidRDefault="00C445CB" w:rsidP="00C445CB">
      <w:pPr>
        <w:spacing w:line="360" w:lineRule="auto"/>
        <w:rPr>
          <w:color w:val="20242B"/>
          <w:shd w:val="clear" w:color="auto" w:fill="FFFFFF"/>
        </w:rPr>
      </w:pPr>
      <w:r w:rsidRPr="00C445CB">
        <w:rPr>
          <w:color w:val="20242B"/>
          <w:shd w:val="clear" w:color="auto" w:fill="FFFFFF"/>
        </w:rPr>
        <w:t xml:space="preserve">Dosažení nulových emisí je zásadní pro přežití naší planety, nicméně dosažení tohoto cíle je stále jednou z nejtěžších výzev, kterým svět doposud čelil. Povzbudivé je, že podle každoročního průzkumu analytiků společnosti </w:t>
      </w:r>
      <w:proofErr w:type="spellStart"/>
      <w:r w:rsidRPr="00C445CB">
        <w:rPr>
          <w:color w:val="20242B"/>
          <w:shd w:val="clear" w:color="auto" w:fill="FFFFFF"/>
        </w:rPr>
        <w:t>Fidelity</w:t>
      </w:r>
      <w:proofErr w:type="spellEnd"/>
      <w:r w:rsidRPr="00C445CB">
        <w:rPr>
          <w:color w:val="20242B"/>
          <w:shd w:val="clear" w:color="auto" w:fill="FFFFFF"/>
        </w:rPr>
        <w:t xml:space="preserve"> International (</w:t>
      </w:r>
      <w:proofErr w:type="spellStart"/>
      <w:r w:rsidRPr="00C445CB">
        <w:rPr>
          <w:color w:val="20242B"/>
          <w:shd w:val="clear" w:color="auto" w:fill="FFFFFF"/>
        </w:rPr>
        <w:t>Fidelity</w:t>
      </w:r>
      <w:proofErr w:type="spellEnd"/>
      <w:r w:rsidRPr="00C445CB">
        <w:rPr>
          <w:color w:val="20242B"/>
          <w:shd w:val="clear" w:color="auto" w:fill="FFFFFF"/>
        </w:rPr>
        <w:t xml:space="preserve">) v oblasti ESG mají společnosti i nadále zájem spolupracovat se svými podílníky na tom, jak zlepšit úsilí v oblasti udržitelnosti. Uvědomují si totiž rychle se měnící fyzické i ekonomické prostředí, a i posuny v regulaci kolem nás. </w:t>
      </w:r>
    </w:p>
    <w:p w14:paraId="5250ED73" w14:textId="77777777" w:rsidR="00C445CB" w:rsidRPr="00C445CB" w:rsidRDefault="00C445CB" w:rsidP="00C445CB">
      <w:pPr>
        <w:spacing w:line="360" w:lineRule="auto"/>
        <w:rPr>
          <w:color w:val="20242B"/>
          <w:shd w:val="clear" w:color="auto" w:fill="FFFFFF"/>
        </w:rPr>
      </w:pPr>
      <w:r w:rsidRPr="00C445CB">
        <w:rPr>
          <w:color w:val="20242B"/>
          <w:shd w:val="clear" w:color="auto" w:fill="FFFFFF"/>
        </w:rPr>
        <w:t xml:space="preserve">Průzkum analytiků ESG společnosti </w:t>
      </w:r>
      <w:proofErr w:type="spellStart"/>
      <w:r w:rsidRPr="00C445CB">
        <w:rPr>
          <w:color w:val="20242B"/>
          <w:shd w:val="clear" w:color="auto" w:fill="FFFFFF"/>
        </w:rPr>
        <w:t>Fidelity</w:t>
      </w:r>
      <w:proofErr w:type="spellEnd"/>
      <w:r w:rsidRPr="00C445CB">
        <w:rPr>
          <w:color w:val="20242B"/>
          <w:shd w:val="clear" w:color="auto" w:fill="FFFFFF"/>
        </w:rPr>
        <w:t xml:space="preserve"> shromažďuje názory vlastních analytiků z celého světa a tyto informace sbírá zdola nahoru. Šetření probíhá formou přibližně 20 000 interakcí jednotlivých společností, přičemž zjišťuje klíčové trendy v oblasti ESG ve firemním prostředí.</w:t>
      </w:r>
    </w:p>
    <w:p w14:paraId="2654B49B" w14:textId="77777777" w:rsidR="00C445CB" w:rsidRDefault="00C445CB" w:rsidP="00C445CB">
      <w:pPr>
        <w:pBdr>
          <w:top w:val="single" w:sz="4" w:space="1" w:color="auto"/>
          <w:left w:val="single" w:sz="4" w:space="4" w:color="auto"/>
          <w:bottom w:val="single" w:sz="4" w:space="1" w:color="auto"/>
          <w:right w:val="single" w:sz="4" w:space="4" w:color="auto"/>
        </w:pBdr>
        <w:spacing w:line="360" w:lineRule="auto"/>
        <w:rPr>
          <w:b/>
          <w:bCs/>
          <w:u w:val="single"/>
        </w:rPr>
      </w:pPr>
      <w:r>
        <w:rPr>
          <w:b/>
          <w:bCs/>
          <w:u w:val="single"/>
        </w:rPr>
        <w:t>Graf</w:t>
      </w:r>
      <w:r w:rsidRPr="007A2F57">
        <w:rPr>
          <w:b/>
          <w:bCs/>
          <w:u w:val="single"/>
        </w:rPr>
        <w:t xml:space="preserve"> 1: </w:t>
      </w:r>
      <w:r w:rsidRPr="003B2703">
        <w:rPr>
          <w:b/>
          <w:bCs/>
          <w:u w:val="single"/>
        </w:rPr>
        <w:t xml:space="preserve">Společnosti zůstávají otevřené </w:t>
      </w:r>
      <w:r>
        <w:rPr>
          <w:b/>
          <w:bCs/>
          <w:u w:val="single"/>
        </w:rPr>
        <w:t>angažování se</w:t>
      </w:r>
      <w:r w:rsidRPr="003B2703">
        <w:rPr>
          <w:b/>
          <w:bCs/>
          <w:u w:val="single"/>
        </w:rPr>
        <w:t xml:space="preserve"> v oblasti ESG </w:t>
      </w:r>
    </w:p>
    <w:p w14:paraId="35C7B39F" w14:textId="4BDADCC8" w:rsidR="00C445CB" w:rsidRPr="008E4D3C" w:rsidRDefault="00C445CB" w:rsidP="00C445CB">
      <w:pPr>
        <w:pBdr>
          <w:top w:val="single" w:sz="4" w:space="1" w:color="auto"/>
          <w:left w:val="single" w:sz="4" w:space="4" w:color="auto"/>
          <w:bottom w:val="single" w:sz="4" w:space="1" w:color="auto"/>
          <w:right w:val="single" w:sz="4" w:space="4" w:color="auto"/>
        </w:pBdr>
        <w:spacing w:line="360" w:lineRule="auto"/>
      </w:pPr>
      <w:r>
        <w:rPr>
          <w:noProof/>
        </w:rPr>
        <w:drawing>
          <wp:inline distT="0" distB="0" distL="0" distR="0" wp14:anchorId="4942AE62" wp14:editId="1E28B45B">
            <wp:extent cx="3737144" cy="25844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2103" cy="2587880"/>
                    </a:xfrm>
                    <a:prstGeom prst="rect">
                      <a:avLst/>
                    </a:prstGeom>
                  </pic:spPr>
                </pic:pic>
              </a:graphicData>
            </a:graphic>
          </wp:inline>
        </w:drawing>
      </w:r>
    </w:p>
    <w:p w14:paraId="3E744806" w14:textId="77777777" w:rsidR="00C445CB" w:rsidRPr="00C445CB" w:rsidRDefault="00C445CB" w:rsidP="00C445CB">
      <w:pPr>
        <w:spacing w:line="360" w:lineRule="auto"/>
        <w:rPr>
          <w:color w:val="20242B"/>
          <w:shd w:val="clear" w:color="auto" w:fill="FFFFFF"/>
        </w:rPr>
      </w:pPr>
      <w:r w:rsidRPr="00C445CB">
        <w:rPr>
          <w:color w:val="20242B"/>
          <w:shd w:val="clear" w:color="auto" w:fill="FFFFFF"/>
        </w:rPr>
        <w:lastRenderedPageBreak/>
        <w:t xml:space="preserve">Analytici společnosti </w:t>
      </w:r>
      <w:proofErr w:type="spellStart"/>
      <w:r w:rsidRPr="00C445CB">
        <w:rPr>
          <w:color w:val="20242B"/>
          <w:shd w:val="clear" w:color="auto" w:fill="FFFFFF"/>
        </w:rPr>
        <w:t>Fidelity</w:t>
      </w:r>
      <w:proofErr w:type="spellEnd"/>
      <w:r w:rsidRPr="00C445CB">
        <w:rPr>
          <w:color w:val="20242B"/>
          <w:shd w:val="clear" w:color="auto" w:fill="FFFFFF"/>
        </w:rPr>
        <w:t xml:space="preserve"> uvedli, že jimi pokrývaných 68 % společností z celého světa reagovalo na jejich snahy o angažovanost v posledních 12 měsících. V čele stojí společnosti v Japonsku, kde se v posledním roce ochotně angažovalo 89 % z nich, následované společnostmi v regionu EMEA / Latinské Ameriky (83 %) a v regionu Asie a Tichomoří bez Číny a Japonska (71 %).</w:t>
      </w:r>
    </w:p>
    <w:p w14:paraId="08D689FB" w14:textId="77777777" w:rsidR="00C445CB" w:rsidRDefault="00C445CB" w:rsidP="00C445CB">
      <w:pPr>
        <w:pStyle w:val="F2-zkladn"/>
        <w:spacing w:line="360" w:lineRule="auto"/>
        <w:rPr>
          <w:rFonts w:asciiTheme="minorHAnsi" w:hAnsiTheme="minorHAnsi" w:cstheme="minorHAnsi"/>
          <w:b/>
          <w:bCs/>
          <w:sz w:val="24"/>
          <w:szCs w:val="24"/>
        </w:rPr>
      </w:pPr>
      <w:r>
        <w:rPr>
          <w:rFonts w:asciiTheme="minorHAnsi" w:hAnsiTheme="minorHAnsi" w:cstheme="minorHAnsi"/>
          <w:b/>
          <w:bCs/>
          <w:sz w:val="24"/>
          <w:szCs w:val="24"/>
        </w:rPr>
        <w:t>Společnosti zaostávají v posunu k nulových, ale rizika jsou reálná</w:t>
      </w:r>
    </w:p>
    <w:p w14:paraId="599CA5BC" w14:textId="637E8C3A" w:rsidR="00C445CB" w:rsidRDefault="00C445CB" w:rsidP="00C445CB">
      <w:pPr>
        <w:pStyle w:val="F2-zkladn"/>
        <w:spacing w:line="360" w:lineRule="auto"/>
        <w:rPr>
          <w:color w:val="20242B"/>
          <w:shd w:val="clear" w:color="auto" w:fill="FFFFFF"/>
        </w:rPr>
      </w:pPr>
      <w:r w:rsidRPr="00C445CB">
        <w:rPr>
          <w:color w:val="20242B"/>
          <w:shd w:val="clear" w:color="auto" w:fill="FFFFFF"/>
        </w:rPr>
        <w:t xml:space="preserve">Pouze 43 % analytiků společnosti </w:t>
      </w:r>
      <w:proofErr w:type="spellStart"/>
      <w:r w:rsidRPr="00C445CB">
        <w:rPr>
          <w:color w:val="20242B"/>
          <w:shd w:val="clear" w:color="auto" w:fill="FFFFFF"/>
        </w:rPr>
        <w:t>Fidelity</w:t>
      </w:r>
      <w:proofErr w:type="spellEnd"/>
      <w:r w:rsidRPr="00C445CB">
        <w:rPr>
          <w:color w:val="20242B"/>
          <w:shd w:val="clear" w:color="auto" w:fill="FFFFFF"/>
        </w:rPr>
        <w:t xml:space="preserve"> se domnívá, že společnosti mají v současné době splnitelný cíl nulových čistých emisí do roku 2050, což zdůrazňuje naléhavost urychlení plánů nulových emisí. Společnosti se však probouzejí a uvědomují si rizika nesplnění cílů. 85 % analytiků společnosti </w:t>
      </w:r>
      <w:proofErr w:type="spellStart"/>
      <w:r w:rsidRPr="00C445CB">
        <w:rPr>
          <w:color w:val="20242B"/>
          <w:shd w:val="clear" w:color="auto" w:fill="FFFFFF"/>
        </w:rPr>
        <w:t>Fidelity</w:t>
      </w:r>
      <w:proofErr w:type="spellEnd"/>
      <w:r w:rsidRPr="00C445CB">
        <w:rPr>
          <w:color w:val="20242B"/>
          <w:shd w:val="clear" w:color="auto" w:fill="FFFFFF"/>
        </w:rPr>
        <w:t xml:space="preserve"> se domnívá, že se společnosti zabývají hrozbami, které pro jejich podnikání představují možné změny klimatu a přírody.</w:t>
      </w:r>
    </w:p>
    <w:p w14:paraId="557DC3EE" w14:textId="77777777" w:rsidR="00C445CB" w:rsidRPr="007A2F57" w:rsidRDefault="00C445CB" w:rsidP="00C445CB">
      <w:pPr>
        <w:pBdr>
          <w:top w:val="single" w:sz="4" w:space="1" w:color="auto"/>
          <w:left w:val="single" w:sz="4" w:space="4" w:color="auto"/>
          <w:bottom w:val="single" w:sz="4" w:space="1" w:color="auto"/>
          <w:right w:val="single" w:sz="4" w:space="4" w:color="auto"/>
        </w:pBdr>
        <w:spacing w:line="360" w:lineRule="auto"/>
        <w:rPr>
          <w:b/>
          <w:bCs/>
          <w:u w:val="single"/>
        </w:rPr>
      </w:pPr>
      <w:r>
        <w:rPr>
          <w:b/>
          <w:bCs/>
          <w:u w:val="single"/>
        </w:rPr>
        <w:t>Graf</w:t>
      </w:r>
      <w:r w:rsidRPr="007A2F57">
        <w:rPr>
          <w:b/>
          <w:bCs/>
          <w:u w:val="single"/>
        </w:rPr>
        <w:t xml:space="preserve"> 2: </w:t>
      </w:r>
      <w:r w:rsidRPr="00871D8B">
        <w:rPr>
          <w:b/>
          <w:bCs/>
          <w:u w:val="single"/>
        </w:rPr>
        <w:t>Většina společností se již zabývá hrozbami, které změna klimatu představuje pro jejich podnikání.</w:t>
      </w:r>
    </w:p>
    <w:p w14:paraId="54D26796" w14:textId="77777777" w:rsidR="00C445CB" w:rsidRDefault="00C445CB" w:rsidP="00C445CB">
      <w:pPr>
        <w:pBdr>
          <w:top w:val="single" w:sz="4" w:space="1" w:color="auto"/>
          <w:left w:val="single" w:sz="4" w:space="4" w:color="auto"/>
          <w:bottom w:val="single" w:sz="4" w:space="1" w:color="auto"/>
          <w:right w:val="single" w:sz="4" w:space="4" w:color="auto"/>
        </w:pBdr>
        <w:spacing w:line="360" w:lineRule="auto"/>
        <w:rPr>
          <w:b/>
          <w:bCs/>
          <w:u w:val="single"/>
        </w:rPr>
      </w:pPr>
      <w:r>
        <w:rPr>
          <w:noProof/>
        </w:rPr>
        <w:drawing>
          <wp:inline distT="0" distB="0" distL="0" distR="0" wp14:anchorId="26DCD570" wp14:editId="00F4EB67">
            <wp:extent cx="3492500" cy="2445833"/>
            <wp:effectExtent l="0" t="0" r="0" b="0"/>
            <wp:docPr id="18746389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98907" cy="2450320"/>
                    </a:xfrm>
                    <a:prstGeom prst="rect">
                      <a:avLst/>
                    </a:prstGeom>
                  </pic:spPr>
                </pic:pic>
              </a:graphicData>
            </a:graphic>
          </wp:inline>
        </w:drawing>
      </w:r>
    </w:p>
    <w:p w14:paraId="024A621A" w14:textId="1FE40006" w:rsidR="00C445CB" w:rsidRDefault="00D62D94" w:rsidP="00C445CB">
      <w:pPr>
        <w:pStyle w:val="F2-zkladn"/>
        <w:spacing w:line="360" w:lineRule="auto"/>
        <w:rPr>
          <w:rFonts w:asciiTheme="minorHAnsi" w:hAnsiTheme="minorHAnsi" w:cstheme="minorHAnsi"/>
          <w:b/>
          <w:bCs/>
          <w:sz w:val="24"/>
          <w:szCs w:val="24"/>
        </w:rPr>
      </w:pPr>
      <w:r>
        <w:rPr>
          <w:rFonts w:asciiTheme="minorHAnsi" w:hAnsiTheme="minorHAnsi" w:cstheme="minorHAnsi"/>
          <w:b/>
          <w:bCs/>
          <w:sz w:val="24"/>
          <w:szCs w:val="24"/>
        </w:rPr>
        <w:br/>
      </w:r>
      <w:r w:rsidR="00C445CB">
        <w:rPr>
          <w:rFonts w:asciiTheme="minorHAnsi" w:hAnsiTheme="minorHAnsi" w:cstheme="minorHAnsi"/>
          <w:b/>
          <w:bCs/>
          <w:sz w:val="24"/>
          <w:szCs w:val="24"/>
        </w:rPr>
        <w:t xml:space="preserve">Tři nejúčinnější </w:t>
      </w:r>
      <w:r>
        <w:rPr>
          <w:rFonts w:asciiTheme="minorHAnsi" w:hAnsiTheme="minorHAnsi" w:cstheme="minorHAnsi"/>
          <w:b/>
          <w:bCs/>
          <w:sz w:val="24"/>
          <w:szCs w:val="24"/>
        </w:rPr>
        <w:t>způsoby, jak dosáhnout změny</w:t>
      </w:r>
    </w:p>
    <w:p w14:paraId="32B35DC5" w14:textId="70985AE5" w:rsidR="00D62D94" w:rsidRDefault="00D62D94" w:rsidP="00D62D94">
      <w:pPr>
        <w:spacing w:line="360" w:lineRule="auto"/>
        <w:rPr>
          <w:color w:val="20242B"/>
          <w:shd w:val="clear" w:color="auto" w:fill="FFFFFF"/>
        </w:rPr>
      </w:pPr>
      <w:r w:rsidRPr="00D62D94">
        <w:rPr>
          <w:color w:val="20242B"/>
          <w:shd w:val="clear" w:color="auto" w:fill="FFFFFF"/>
        </w:rPr>
        <w:t xml:space="preserve">I když je jasné, že k dosažení čisté emisní nuly vede ještě dlouhá cesta, analytici společnosti </w:t>
      </w:r>
      <w:proofErr w:type="spellStart"/>
      <w:r w:rsidRPr="00D62D94">
        <w:rPr>
          <w:color w:val="20242B"/>
          <w:shd w:val="clear" w:color="auto" w:fill="FFFFFF"/>
        </w:rPr>
        <w:t>Fidelity</w:t>
      </w:r>
      <w:proofErr w:type="spellEnd"/>
      <w:r w:rsidRPr="00D62D94">
        <w:rPr>
          <w:color w:val="20242B"/>
          <w:shd w:val="clear" w:color="auto" w:fill="FFFFFF"/>
        </w:rPr>
        <w:t xml:space="preserve"> identifikují tři oblasti, které by měly podnítit zlepšení ekologických postupů společností: regulace, vládní podpora a akce akcionářů.</w:t>
      </w:r>
    </w:p>
    <w:p w14:paraId="38CE5384" w14:textId="77777777" w:rsidR="00D62D94" w:rsidRDefault="00D62D94" w:rsidP="00D62D94">
      <w:pPr>
        <w:pStyle w:val="F2-zkladn"/>
      </w:pPr>
    </w:p>
    <w:p w14:paraId="2888218A" w14:textId="77777777" w:rsidR="00D62D94" w:rsidRDefault="00D62D94" w:rsidP="00D62D94">
      <w:pPr>
        <w:pStyle w:val="F2-zkladn"/>
      </w:pPr>
    </w:p>
    <w:p w14:paraId="615025A5" w14:textId="77777777" w:rsidR="00D62D94" w:rsidRDefault="00D62D94" w:rsidP="00D62D94">
      <w:pPr>
        <w:pStyle w:val="F2-zkladn"/>
      </w:pPr>
    </w:p>
    <w:p w14:paraId="3EEEC422" w14:textId="77777777" w:rsidR="00D62D94" w:rsidRPr="00D62D94" w:rsidRDefault="00D62D94" w:rsidP="00D62D94">
      <w:pPr>
        <w:pStyle w:val="F2-zkladn"/>
      </w:pPr>
    </w:p>
    <w:p w14:paraId="779CF8E2" w14:textId="77777777" w:rsidR="00D62D94" w:rsidRDefault="00D62D94" w:rsidP="00D62D94">
      <w:pPr>
        <w:pBdr>
          <w:top w:val="single" w:sz="4" w:space="1" w:color="auto"/>
          <w:left w:val="single" w:sz="4" w:space="4" w:color="auto"/>
          <w:bottom w:val="single" w:sz="4" w:space="1" w:color="auto"/>
          <w:right w:val="single" w:sz="4" w:space="4" w:color="auto"/>
        </w:pBdr>
        <w:spacing w:line="360" w:lineRule="auto"/>
        <w:rPr>
          <w:b/>
          <w:bCs/>
          <w:u w:val="single"/>
        </w:rPr>
      </w:pPr>
      <w:r w:rsidRPr="00C378F5">
        <w:rPr>
          <w:b/>
          <w:bCs/>
          <w:u w:val="single"/>
        </w:rPr>
        <w:lastRenderedPageBreak/>
        <w:t>Graf 3: Regulace, vládní pobídky a akce akcionářů budou řídit environmentální chování podniků</w:t>
      </w:r>
    </w:p>
    <w:p w14:paraId="2901E2CE" w14:textId="0B7E6BFB" w:rsidR="007F1028" w:rsidRPr="00D62D94" w:rsidRDefault="00D62D94" w:rsidP="00D62D94">
      <w:pPr>
        <w:pBdr>
          <w:top w:val="single" w:sz="4" w:space="1" w:color="auto"/>
          <w:left w:val="single" w:sz="4" w:space="4" w:color="auto"/>
          <w:bottom w:val="single" w:sz="4" w:space="1" w:color="auto"/>
          <w:right w:val="single" w:sz="4" w:space="4" w:color="auto"/>
        </w:pBdr>
        <w:spacing w:line="360" w:lineRule="auto"/>
        <w:rPr>
          <w:b/>
          <w:bCs/>
          <w:u w:val="single"/>
        </w:rPr>
      </w:pPr>
      <w:r>
        <w:rPr>
          <w:noProof/>
        </w:rPr>
        <w:drawing>
          <wp:inline distT="0" distB="0" distL="0" distR="0" wp14:anchorId="42536393" wp14:editId="141FC630">
            <wp:extent cx="4330700" cy="2958944"/>
            <wp:effectExtent l="0" t="0" r="0" b="0"/>
            <wp:docPr id="1461282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42541" cy="2967034"/>
                    </a:xfrm>
                    <a:prstGeom prst="rect">
                      <a:avLst/>
                    </a:prstGeom>
                  </pic:spPr>
                </pic:pic>
              </a:graphicData>
            </a:graphic>
          </wp:inline>
        </w:drawing>
      </w:r>
    </w:p>
    <w:p w14:paraId="245D57A6" w14:textId="4157218F" w:rsidR="00B62948" w:rsidRDefault="00D62D94" w:rsidP="00B62948">
      <w:pPr>
        <w:pStyle w:val="F2-zkladn"/>
        <w:spacing w:line="360" w:lineRule="auto"/>
        <w:rPr>
          <w:rFonts w:asciiTheme="minorHAnsi" w:hAnsiTheme="minorHAnsi" w:cstheme="minorHAnsi"/>
          <w:b/>
          <w:bCs/>
          <w:sz w:val="24"/>
          <w:szCs w:val="24"/>
        </w:rPr>
      </w:pPr>
      <w:proofErr w:type="spellStart"/>
      <w:r>
        <w:rPr>
          <w:rFonts w:asciiTheme="minorHAnsi" w:hAnsiTheme="minorHAnsi" w:cstheme="minorHAnsi"/>
          <w:b/>
          <w:bCs/>
          <w:sz w:val="24"/>
          <w:szCs w:val="24"/>
        </w:rPr>
        <w:t>Jenn-Hui</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Tan</w:t>
      </w:r>
      <w:proofErr w:type="spellEnd"/>
      <w:r>
        <w:rPr>
          <w:rFonts w:asciiTheme="minorHAnsi" w:hAnsiTheme="minorHAnsi" w:cstheme="minorHAnsi"/>
          <w:b/>
          <w:bCs/>
          <w:sz w:val="24"/>
          <w:szCs w:val="24"/>
        </w:rPr>
        <w:t xml:space="preserve">, ředitelka pro udržitelnost ve společnosti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 k tomu </w:t>
      </w:r>
      <w:proofErr w:type="spellStart"/>
      <w:r>
        <w:rPr>
          <w:rFonts w:asciiTheme="minorHAnsi" w:hAnsiTheme="minorHAnsi" w:cstheme="minorHAnsi"/>
          <w:b/>
          <w:bCs/>
          <w:sz w:val="24"/>
          <w:szCs w:val="24"/>
        </w:rPr>
        <w:t>říka</w:t>
      </w:r>
      <w:proofErr w:type="spellEnd"/>
      <w:r>
        <w:rPr>
          <w:rFonts w:asciiTheme="minorHAnsi" w:hAnsiTheme="minorHAnsi" w:cstheme="minorHAnsi"/>
          <w:b/>
          <w:bCs/>
          <w:sz w:val="24"/>
          <w:szCs w:val="24"/>
        </w:rPr>
        <w:t>:</w:t>
      </w:r>
    </w:p>
    <w:p w14:paraId="19284F1B" w14:textId="36BAD8A6" w:rsidR="00D62D94" w:rsidRPr="00D62D94" w:rsidRDefault="00D62D94" w:rsidP="00D62D94">
      <w:pPr>
        <w:spacing w:line="360" w:lineRule="auto"/>
        <w:rPr>
          <w:i/>
          <w:iCs/>
          <w:color w:val="20242B"/>
          <w:shd w:val="clear" w:color="auto" w:fill="FFFFFF"/>
        </w:rPr>
      </w:pPr>
      <w:r w:rsidRPr="00D62D94">
        <w:rPr>
          <w:i/>
          <w:iCs/>
          <w:color w:val="20242B"/>
          <w:shd w:val="clear" w:color="auto" w:fill="FFFFFF"/>
        </w:rPr>
        <w:t>"Přestože se společnosti mohou opožďovat oproti svým plánům, roste povědomí o hrozbách, které představuje teplejší klima a zhoršující se stav ekosystémů, což je silnou motivací k tomu, aby se firmy v této oblasti angažovaly. Navzdory ochotě společností zapojit se</w:t>
      </w:r>
      <w:r w:rsidR="00EA0060">
        <w:rPr>
          <w:i/>
          <w:iCs/>
          <w:color w:val="20242B"/>
          <w:shd w:val="clear" w:color="auto" w:fill="FFFFFF"/>
        </w:rPr>
        <w:t>,</w:t>
      </w:r>
      <w:r w:rsidRPr="00D62D94">
        <w:rPr>
          <w:i/>
          <w:iCs/>
          <w:color w:val="20242B"/>
          <w:shd w:val="clear" w:color="auto" w:fill="FFFFFF"/>
        </w:rPr>
        <w:t xml:space="preserve"> náš průzkum zdůrazňuje, že je před námi ještě dlouhá cesta a že společnosti potřebují neustálou podporu při dosahování cílů nulových emisí. Regulace, vládní pobídky a akce akcionářů hrají klíčovou roli při vytváření příznivého prostředí pro úspěšný přechod firem na čistou nulu, přičemž je třeba si uvědomit, že dlouhodobé rozhodování si žádá pečlivé zvažování kompromisů a omezení jak v oblasti finančních cílů, tak cílů udržitelnosti, a to na pozadí nejistých makroekonomických podmínek."</w:t>
      </w:r>
    </w:p>
    <w:p w14:paraId="55202F37" w14:textId="3A6F8624" w:rsidR="00D62D94" w:rsidRPr="00D62D94" w:rsidRDefault="00D62D94" w:rsidP="00D62D94">
      <w:pPr>
        <w:spacing w:line="360" w:lineRule="auto"/>
        <w:rPr>
          <w:color w:val="20242B"/>
          <w:shd w:val="clear" w:color="auto" w:fill="FFFFFF"/>
        </w:rPr>
      </w:pPr>
    </w:p>
    <w:p w14:paraId="3C9FA4F5" w14:textId="77777777" w:rsidR="00AA2A82" w:rsidRDefault="00AA2A82" w:rsidP="00C07703">
      <w:pPr>
        <w:pStyle w:val="Normlnweb"/>
        <w:spacing w:line="360" w:lineRule="auto"/>
        <w:rPr>
          <w:color w:val="20242B"/>
          <w:shd w:val="clear" w:color="auto" w:fill="FFFFFF"/>
        </w:rPr>
      </w:pPr>
    </w:p>
    <w:p w14:paraId="3F666FA4" w14:textId="77777777" w:rsidR="00AA2A82" w:rsidRPr="00AA2A82" w:rsidRDefault="00AA2A82" w:rsidP="00AA2A82">
      <w:pPr>
        <w:pStyle w:val="F2-zkladn"/>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5" w:history="1">
        <w:r w:rsidRPr="00E23FD4">
          <w:rPr>
            <w:rStyle w:val="Hypertextovodkaz"/>
          </w:rPr>
          <w:t>eliska.krohova@crestcom.cz</w:t>
        </w:r>
      </w:hyperlink>
    </w:p>
    <w:p w14:paraId="14AE2F5A" w14:textId="77777777" w:rsidR="005A5AB1" w:rsidRDefault="005A5AB1" w:rsidP="002027ED">
      <w:pPr>
        <w:pStyle w:val="F2-zkladn"/>
      </w:pPr>
    </w:p>
    <w:p w14:paraId="7C2DED59" w14:textId="77777777" w:rsidR="00D62D94" w:rsidRPr="005A5AB1" w:rsidRDefault="00D62D94"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lastRenderedPageBreak/>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w:t>
      </w:r>
      <w:r>
        <w:lastRenderedPageBreak/>
        <w:t xml:space="preserve">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3CD32F5" w14:textId="2B200E5E" w:rsidR="006F7FA5" w:rsidRDefault="006F7FA5" w:rsidP="002027ED">
      <w:pPr>
        <w:pStyle w:val="F2-zkladn"/>
      </w:pPr>
      <w:r w:rsidRPr="006F7FA5">
        <w:t>MKAT12280</w:t>
      </w:r>
    </w:p>
    <w:sectPr w:rsidR="006F7FA5" w:rsidSect="00F50497">
      <w:headerReference w:type="default" r:id="rId16"/>
      <w:footerReference w:type="default" r:id="rId17"/>
      <w:headerReference w:type="first" r:id="rId18"/>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4ABCC" w14:textId="77777777" w:rsidR="00153505" w:rsidRDefault="00153505">
      <w:r>
        <w:separator/>
      </w:r>
    </w:p>
  </w:endnote>
  <w:endnote w:type="continuationSeparator" w:id="0">
    <w:p w14:paraId="64F4AACF" w14:textId="77777777" w:rsidR="00153505" w:rsidRDefault="0015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AD126" w14:textId="77777777" w:rsidR="00153505" w:rsidRDefault="00153505">
      <w:r>
        <w:separator/>
      </w:r>
    </w:p>
  </w:footnote>
  <w:footnote w:type="continuationSeparator" w:id="0">
    <w:p w14:paraId="11677CC3" w14:textId="77777777" w:rsidR="00153505" w:rsidRDefault="00153505">
      <w:r>
        <w:continuationSeparator/>
      </w:r>
    </w:p>
  </w:footnote>
  <w:footnote w:type="continuationNotice" w:id="1">
    <w:p w14:paraId="48DA1992" w14:textId="77777777" w:rsidR="00153505" w:rsidRDefault="00153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3"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6627B0"/>
    <w:multiLevelType w:val="hybridMultilevel"/>
    <w:tmpl w:val="65BEB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2"/>
  </w:num>
  <w:num w:numId="3" w16cid:durableId="1582174134">
    <w:abstractNumId w:val="39"/>
  </w:num>
  <w:num w:numId="4" w16cid:durableId="1727561179">
    <w:abstractNumId w:val="22"/>
  </w:num>
  <w:num w:numId="5" w16cid:durableId="56979214">
    <w:abstractNumId w:val="24"/>
  </w:num>
  <w:num w:numId="6" w16cid:durableId="52699439">
    <w:abstractNumId w:val="20"/>
  </w:num>
  <w:num w:numId="7" w16cid:durableId="1526748972">
    <w:abstractNumId w:val="37"/>
  </w:num>
  <w:num w:numId="8" w16cid:durableId="1090007024">
    <w:abstractNumId w:val="26"/>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30"/>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6"/>
  </w:num>
  <w:num w:numId="27" w16cid:durableId="339890089">
    <w:abstractNumId w:val="29"/>
  </w:num>
  <w:num w:numId="28" w16cid:durableId="571113239">
    <w:abstractNumId w:val="19"/>
  </w:num>
  <w:num w:numId="29" w16cid:durableId="1961842128">
    <w:abstractNumId w:val="21"/>
  </w:num>
  <w:num w:numId="30" w16cid:durableId="1308898731">
    <w:abstractNumId w:val="23"/>
  </w:num>
  <w:num w:numId="31" w16cid:durableId="297690701">
    <w:abstractNumId w:val="31"/>
  </w:num>
  <w:num w:numId="32" w16cid:durableId="1759861628">
    <w:abstractNumId w:val="40"/>
  </w:num>
  <w:num w:numId="33" w16cid:durableId="2037387264">
    <w:abstractNumId w:val="28"/>
  </w:num>
  <w:num w:numId="34" w16cid:durableId="1056201924">
    <w:abstractNumId w:val="38"/>
  </w:num>
  <w:num w:numId="35" w16cid:durableId="1984849997">
    <w:abstractNumId w:val="42"/>
  </w:num>
  <w:num w:numId="36" w16cid:durableId="1007513551">
    <w:abstractNumId w:val="14"/>
  </w:num>
  <w:num w:numId="37" w16cid:durableId="1296060939">
    <w:abstractNumId w:val="34"/>
  </w:num>
  <w:num w:numId="38" w16cid:durableId="1285503461">
    <w:abstractNumId w:val="16"/>
  </w:num>
  <w:num w:numId="39" w16cid:durableId="540216830">
    <w:abstractNumId w:val="27"/>
  </w:num>
  <w:num w:numId="40" w16cid:durableId="409815651">
    <w:abstractNumId w:val="33"/>
  </w:num>
  <w:num w:numId="41" w16cid:durableId="1296642131">
    <w:abstractNumId w:val="41"/>
  </w:num>
  <w:num w:numId="42" w16cid:durableId="1995525430">
    <w:abstractNumId w:val="25"/>
  </w:num>
  <w:num w:numId="43" w16cid:durableId="133764519">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505"/>
    <w:rsid w:val="00153D75"/>
    <w:rsid w:val="00153FD1"/>
    <w:rsid w:val="00154C56"/>
    <w:rsid w:val="00154D3A"/>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4771"/>
    <w:rsid w:val="00425B35"/>
    <w:rsid w:val="00427801"/>
    <w:rsid w:val="0043115E"/>
    <w:rsid w:val="00431E52"/>
    <w:rsid w:val="00433AB4"/>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640B"/>
    <w:rsid w:val="006F6DC2"/>
    <w:rsid w:val="006F7FA5"/>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375D0"/>
    <w:rsid w:val="00740095"/>
    <w:rsid w:val="00742862"/>
    <w:rsid w:val="00742FD0"/>
    <w:rsid w:val="007432EF"/>
    <w:rsid w:val="00743FE9"/>
    <w:rsid w:val="0074497D"/>
    <w:rsid w:val="00745DD0"/>
    <w:rsid w:val="00746455"/>
    <w:rsid w:val="00746F96"/>
    <w:rsid w:val="0074770C"/>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5C7"/>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3B10"/>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1058"/>
    <w:rsid w:val="00AD10D2"/>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948"/>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E7E34"/>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5CB"/>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620"/>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0AD8"/>
    <w:rsid w:val="00D6135D"/>
    <w:rsid w:val="00D61844"/>
    <w:rsid w:val="00D61AA5"/>
    <w:rsid w:val="00D62D94"/>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397A"/>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17"/>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60"/>
    <w:rsid w:val="00EA00F3"/>
    <w:rsid w:val="00EA07A3"/>
    <w:rsid w:val="00EA193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0E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1266</Words>
  <Characters>7476</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8725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2024-06-17T11:50:00Z</dcterms:created>
  <dcterms:modified xsi:type="dcterms:W3CDTF">2024-06-18T07:21:00Z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